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2256" w:rsidRDefault="009C2256" w:rsidP="00374F94">
      <w:pPr>
        <w:jc w:val="center"/>
      </w:pPr>
      <w:bookmarkStart w:id="0" w:name="_GoBack"/>
      <w:bookmarkEnd w:id="0"/>
    </w:p>
    <w:p w:rsidR="009C2256" w:rsidRDefault="009C2256" w:rsidP="00374F94">
      <w:pPr>
        <w:jc w:val="center"/>
      </w:pPr>
    </w:p>
    <w:p w:rsidR="009C2256" w:rsidRDefault="009C2256" w:rsidP="00374F94">
      <w:pPr>
        <w:jc w:val="center"/>
      </w:pPr>
    </w:p>
    <w:p w:rsidR="009C2256" w:rsidRDefault="009C2256" w:rsidP="00374F94">
      <w:pPr>
        <w:jc w:val="center"/>
      </w:pPr>
    </w:p>
    <w:p w:rsidR="009C2256" w:rsidRDefault="009C2256" w:rsidP="00374F94">
      <w:pPr>
        <w:jc w:val="center"/>
      </w:pPr>
    </w:p>
    <w:p w:rsidR="009C2256" w:rsidRDefault="009C2256" w:rsidP="00374F94">
      <w:pPr>
        <w:jc w:val="center"/>
      </w:pPr>
    </w:p>
    <w:p w:rsidR="00374F94" w:rsidRPr="009C2256" w:rsidRDefault="00374F94" w:rsidP="009C2256">
      <w:pPr>
        <w:spacing w:line="480" w:lineRule="auto"/>
        <w:jc w:val="center"/>
        <w:rPr>
          <w:b/>
        </w:rPr>
      </w:pPr>
      <w:r w:rsidRPr="009C2256">
        <w:rPr>
          <w:b/>
        </w:rPr>
        <w:t>Title</w:t>
      </w:r>
    </w:p>
    <w:p w:rsidR="00374F94" w:rsidRDefault="00374F94" w:rsidP="009C2256">
      <w:pPr>
        <w:spacing w:line="480" w:lineRule="auto"/>
        <w:jc w:val="center"/>
      </w:pPr>
      <w:r>
        <w:t>Institutional affiliations</w:t>
      </w:r>
    </w:p>
    <w:p w:rsidR="00374F94" w:rsidRDefault="00374F94" w:rsidP="009C2256">
      <w:pPr>
        <w:spacing w:line="480" w:lineRule="auto"/>
        <w:jc w:val="center"/>
      </w:pPr>
      <w:r>
        <w:t>Name of lecturer</w:t>
      </w:r>
    </w:p>
    <w:p w:rsidR="00374F94" w:rsidRDefault="00374F94" w:rsidP="009C2256">
      <w:pPr>
        <w:spacing w:line="480" w:lineRule="auto"/>
        <w:jc w:val="center"/>
      </w:pPr>
      <w:r>
        <w:t>Name of student</w:t>
      </w:r>
    </w:p>
    <w:p w:rsidR="00374F94" w:rsidRDefault="00374F94" w:rsidP="009C2256">
      <w:pPr>
        <w:spacing w:line="480" w:lineRule="auto"/>
        <w:jc w:val="center"/>
      </w:pPr>
      <w:r>
        <w:t>Submission date</w:t>
      </w:r>
    </w:p>
    <w:p w:rsidR="009C2256" w:rsidRDefault="009C2256">
      <w:r>
        <w:br w:type="page"/>
      </w:r>
    </w:p>
    <w:p w:rsidR="00DD67DE" w:rsidRPr="009C2256" w:rsidRDefault="008627FE" w:rsidP="009C2256">
      <w:pPr>
        <w:spacing w:line="480" w:lineRule="auto"/>
        <w:rPr>
          <w:b/>
        </w:rPr>
      </w:pPr>
      <w:r w:rsidRPr="009C2256">
        <w:rPr>
          <w:b/>
        </w:rPr>
        <w:lastRenderedPageBreak/>
        <w:t>Criminal law</w:t>
      </w:r>
      <w:r w:rsidR="00A93998" w:rsidRPr="009C2256">
        <w:rPr>
          <w:b/>
        </w:rPr>
        <w:t xml:space="preserve"> Case</w:t>
      </w:r>
    </w:p>
    <w:p w:rsidR="00DD67DE" w:rsidRDefault="00DD67DE" w:rsidP="009C2256">
      <w:pPr>
        <w:spacing w:line="480" w:lineRule="auto"/>
        <w:ind w:firstLine="720"/>
      </w:pPr>
      <w:r w:rsidRPr="00DD67DE">
        <w:t xml:space="preserve"> A recent case was on the internet where a Peruvian man was sentenced to 100 months of staying in the prison for allegedly overseeing call centers that sought to threaten and defraud American consumers. On September 3, 2020, Judge Robert Scola sentenced Johnny Hildago to 100 month’s imprisonment for supervising Everglades Peruvian call center, which carried fraud and other extortion schemes against American Consumers. Hildago and others called the victims in the U.S claiming to be attorneys. They again falsely alleged the victims failed to pay for received product deliveries and thus they were owed thousands of dollars as a fine as a result. The threats were in the form of negative credit reports, imprisonment, property seizures, and deportation. This could only be avoided by making “immediate settlement of fees” at the Angeluz Florida to the callers' Co-conspirators. Jonny was arrested in 2019 and taken to the United States with Other two co-defendants last year.</w:t>
      </w:r>
    </w:p>
    <w:p w:rsidR="00DD67DE" w:rsidRDefault="00DD67DE" w:rsidP="009C2256">
      <w:pPr>
        <w:spacing w:line="480" w:lineRule="auto"/>
        <w:ind w:firstLine="720"/>
      </w:pPr>
      <w:r w:rsidRPr="00DD67DE">
        <w:t xml:space="preserve"> </w:t>
      </w:r>
      <w:r>
        <w:t>The case falls under criminal law (Mayson, 2020). This is because the case involved fraud and extortion schemes whereby it was heard in a federal court. The callers were convicted and found guilty of committing mail fraud and wire fraud. The imprisonment sentences for Johnny, Francesco Guerra, and Rodolfo Hermoza show that it was a criminal activity. In relation to the legal penalties charged against these criminals, it’s evident that this was a criminal law because the three defendants were ordered to serve three years of supervised release following their terms of incarceration. It was a very serious offense this acts caused a lot of psychological and emotional damages to the victims who were involved in the scheme.</w:t>
      </w:r>
    </w:p>
    <w:p w:rsidR="00D800F3" w:rsidRDefault="00DD67DE" w:rsidP="009C2256">
      <w:pPr>
        <w:spacing w:line="480" w:lineRule="auto"/>
        <w:ind w:firstLine="720"/>
      </w:pPr>
      <w:r>
        <w:t xml:space="preserve">Since the victims of the fraud were 60 years of age and older, the bipartisan Criminal law called Elder Abuse Prevention and Prosecution Act (Zagaris $ Plachta, 2021) was broken. This law was enacted by President Donald Trump to seek to combat the stop of billions of dollars </w:t>
      </w:r>
      <w:r>
        <w:lastRenderedPageBreak/>
        <w:t>senior elders lose to fraud schemes include those schemes perpetrated by transnational criminal organizations. The extensive methods that could be applied in preventing elderly fraud were through sharing information about the various elder fraud schemes to relatives, neighbors, and even other seniors who can utilize the information to protect themselves.</w:t>
      </w:r>
    </w:p>
    <w:p w:rsidR="00A93998" w:rsidRDefault="00A93998" w:rsidP="009C2256">
      <w:pPr>
        <w:spacing w:line="480" w:lineRule="auto"/>
        <w:ind w:firstLine="720"/>
      </w:pPr>
      <w:r>
        <w:t>My opinion on the determination of the end result of the case was satisfying. This is because many citizens have been deprived of their hard-earned money through the use of threats and other abusive tactics. This was evident that individuals who tend to defraud Consumers and take advantage of the vulnerable members of the society will be brought to justice no matter where the individuals are located. The aim of the judgment made on the defendants was to show the government's commitment to protecting the elderly and the vulnerable members of the community from fraudulent schemes, again it was a warning to those who continue to practice the practices. In essence, I agree with the decision since the sentencing of the three defendants involved in the fraud scheme for the long terms of imprisonment will deter other people from other parts of the world from thinking that they can prey on people who are elderly in the U.S with impunity. The significant sentence of the defendants in the fraud scheme manifests the need to promote the law and also prevent other individuals from engaging in similar conduct.</w:t>
      </w:r>
    </w:p>
    <w:p w:rsidR="00A93998" w:rsidRDefault="00A93998" w:rsidP="009C2256">
      <w:pPr>
        <w:spacing w:line="480" w:lineRule="auto"/>
        <w:ind w:firstLine="720"/>
      </w:pPr>
      <w:r>
        <w:t xml:space="preserve">In case of delayed justice for the victims and the defendants involved in the fraud scheme, I think a harsher sentence would be given to the defendants. This is because involvement in fraud acts is a very serious offense since EAPPA after its enactment has been involved in many pieces of training and promoting outreach sessions aimed at creating awareness on criminal and civil cases that target disproportionately affected seniors in the society. Restitution would be the best way by ordering the defendant to compensate the victims for the billions of dollars they lost as a </w:t>
      </w:r>
      <w:r>
        <w:lastRenderedPageBreak/>
        <w:t>result of the fraud scheme. This is because every state has a law that provides for convicted defendants to pay restitution to their victims.</w:t>
      </w:r>
    </w:p>
    <w:p w:rsidR="00A93998" w:rsidRDefault="00A93998" w:rsidP="009C2256">
      <w:pPr>
        <w:spacing w:line="480" w:lineRule="auto"/>
      </w:pPr>
      <w:r>
        <w:br w:type="page"/>
      </w:r>
    </w:p>
    <w:p w:rsidR="00A93998" w:rsidRPr="00A93998" w:rsidRDefault="00A93998" w:rsidP="00EC3602">
      <w:pPr>
        <w:spacing w:line="480" w:lineRule="auto"/>
        <w:jc w:val="center"/>
        <w:rPr>
          <w:b/>
        </w:rPr>
      </w:pPr>
      <w:r w:rsidRPr="00A93998">
        <w:rPr>
          <w:b/>
        </w:rPr>
        <w:lastRenderedPageBreak/>
        <w:t>References</w:t>
      </w:r>
    </w:p>
    <w:p w:rsidR="00A93998" w:rsidRDefault="00A93998" w:rsidP="00EC3602">
      <w:pPr>
        <w:spacing w:line="480" w:lineRule="auto"/>
        <w:ind w:left="720" w:hanging="720"/>
      </w:pPr>
      <w:r>
        <w:t>Mayson, S. G. (2020). The Concept of Criminal Law. Criminal Law &amp; Philosophy, 14(3).</w:t>
      </w:r>
    </w:p>
    <w:p w:rsidR="00BA3CC2" w:rsidRDefault="00A93998" w:rsidP="00EC3602">
      <w:pPr>
        <w:spacing w:line="480" w:lineRule="auto"/>
        <w:ind w:left="720" w:hanging="720"/>
      </w:pPr>
      <w:r>
        <w:t>Zagaris, B., &amp; Plachta, M. (2021). Extradition. IELR, 37, 16.</w:t>
      </w:r>
    </w:p>
    <w:sectPr w:rsidR="00BA3CC2">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79C9" w:rsidRDefault="003C79C9" w:rsidP="0034313B">
      <w:pPr>
        <w:spacing w:after="0" w:line="240" w:lineRule="auto"/>
      </w:pPr>
      <w:r>
        <w:separator/>
      </w:r>
    </w:p>
  </w:endnote>
  <w:endnote w:type="continuationSeparator" w:id="0">
    <w:p w:rsidR="003C79C9" w:rsidRDefault="003C79C9" w:rsidP="003431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79C9" w:rsidRDefault="003C79C9" w:rsidP="0034313B">
      <w:pPr>
        <w:spacing w:after="0" w:line="240" w:lineRule="auto"/>
      </w:pPr>
      <w:r>
        <w:separator/>
      </w:r>
    </w:p>
  </w:footnote>
  <w:footnote w:type="continuationSeparator" w:id="0">
    <w:p w:rsidR="003C79C9" w:rsidRDefault="003C79C9" w:rsidP="003431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5295155"/>
      <w:docPartObj>
        <w:docPartGallery w:val="Page Numbers (Top of Page)"/>
        <w:docPartUnique/>
      </w:docPartObj>
    </w:sdtPr>
    <w:sdtEndPr>
      <w:rPr>
        <w:noProof/>
      </w:rPr>
    </w:sdtEndPr>
    <w:sdtContent>
      <w:p w:rsidR="0034313B" w:rsidRDefault="0034313B">
        <w:pPr>
          <w:pStyle w:val="Header"/>
          <w:jc w:val="right"/>
        </w:pPr>
        <w:r>
          <w:fldChar w:fldCharType="begin"/>
        </w:r>
        <w:r>
          <w:instrText xml:space="preserve"> PAGE   \* MERGEFORMAT </w:instrText>
        </w:r>
        <w:r>
          <w:fldChar w:fldCharType="separate"/>
        </w:r>
        <w:r w:rsidR="00A90B81">
          <w:rPr>
            <w:noProof/>
          </w:rPr>
          <w:t>1</w:t>
        </w:r>
        <w:r>
          <w:rPr>
            <w:noProof/>
          </w:rPr>
          <w:fldChar w:fldCharType="end"/>
        </w:r>
      </w:p>
    </w:sdtContent>
  </w:sdt>
  <w:p w:rsidR="0034313B" w:rsidRDefault="0034313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7FE"/>
    <w:rsid w:val="000A5F18"/>
    <w:rsid w:val="00182B0E"/>
    <w:rsid w:val="002F0B55"/>
    <w:rsid w:val="002F5EA3"/>
    <w:rsid w:val="0034313B"/>
    <w:rsid w:val="00374F94"/>
    <w:rsid w:val="003C79C9"/>
    <w:rsid w:val="004732AF"/>
    <w:rsid w:val="005C5AC0"/>
    <w:rsid w:val="006E37CA"/>
    <w:rsid w:val="00750FAD"/>
    <w:rsid w:val="007A3C6B"/>
    <w:rsid w:val="00853247"/>
    <w:rsid w:val="008627FE"/>
    <w:rsid w:val="008668CA"/>
    <w:rsid w:val="008D76FA"/>
    <w:rsid w:val="009C2256"/>
    <w:rsid w:val="009C62A8"/>
    <w:rsid w:val="009F16A3"/>
    <w:rsid w:val="00A90B81"/>
    <w:rsid w:val="00A93998"/>
    <w:rsid w:val="00B226BE"/>
    <w:rsid w:val="00B87E18"/>
    <w:rsid w:val="00BA3CC2"/>
    <w:rsid w:val="00BA79F1"/>
    <w:rsid w:val="00C37B37"/>
    <w:rsid w:val="00D800F3"/>
    <w:rsid w:val="00DD67DE"/>
    <w:rsid w:val="00E1303C"/>
    <w:rsid w:val="00EC3602"/>
    <w:rsid w:val="00FA6269"/>
    <w:rsid w:val="00FF52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000000"/>
        <w:spacing w:val="-1"/>
        <w:sz w:val="24"/>
        <w:szCs w:val="24"/>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31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313B"/>
  </w:style>
  <w:style w:type="paragraph" w:styleId="Footer">
    <w:name w:val="footer"/>
    <w:basedOn w:val="Normal"/>
    <w:link w:val="FooterChar"/>
    <w:uiPriority w:val="99"/>
    <w:unhideWhenUsed/>
    <w:rsid w:val="003431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313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000000"/>
        <w:spacing w:val="-1"/>
        <w:sz w:val="24"/>
        <w:szCs w:val="24"/>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31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313B"/>
  </w:style>
  <w:style w:type="paragraph" w:styleId="Footer">
    <w:name w:val="footer"/>
    <w:basedOn w:val="Normal"/>
    <w:link w:val="FooterChar"/>
    <w:uiPriority w:val="99"/>
    <w:unhideWhenUsed/>
    <w:rsid w:val="003431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31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100723">
      <w:bodyDiv w:val="1"/>
      <w:marLeft w:val="0"/>
      <w:marRight w:val="0"/>
      <w:marTop w:val="0"/>
      <w:marBottom w:val="0"/>
      <w:divBdr>
        <w:top w:val="none" w:sz="0" w:space="0" w:color="auto"/>
        <w:left w:val="none" w:sz="0" w:space="0" w:color="auto"/>
        <w:bottom w:val="none" w:sz="0" w:space="0" w:color="auto"/>
        <w:right w:val="none" w:sz="0" w:space="0" w:color="auto"/>
      </w:divBdr>
      <w:divsChild>
        <w:div w:id="760377655">
          <w:marLeft w:val="0"/>
          <w:marRight w:val="0"/>
          <w:marTop w:val="0"/>
          <w:marBottom w:val="0"/>
          <w:divBdr>
            <w:top w:val="none" w:sz="0" w:space="0" w:color="auto"/>
            <w:left w:val="none" w:sz="0" w:space="0" w:color="auto"/>
            <w:bottom w:val="none" w:sz="0" w:space="0" w:color="auto"/>
            <w:right w:val="none" w:sz="0" w:space="0" w:color="auto"/>
          </w:divBdr>
        </w:div>
      </w:divsChild>
    </w:div>
    <w:div w:id="1019353286">
      <w:bodyDiv w:val="1"/>
      <w:marLeft w:val="0"/>
      <w:marRight w:val="0"/>
      <w:marTop w:val="0"/>
      <w:marBottom w:val="0"/>
      <w:divBdr>
        <w:top w:val="none" w:sz="0" w:space="0" w:color="auto"/>
        <w:left w:val="none" w:sz="0" w:space="0" w:color="auto"/>
        <w:bottom w:val="none" w:sz="0" w:space="0" w:color="auto"/>
        <w:right w:val="none" w:sz="0" w:space="0" w:color="auto"/>
      </w:divBdr>
      <w:divsChild>
        <w:div w:id="11225051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663</Words>
  <Characters>3781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jonny</dc:creator>
  <cp:lastModifiedBy>user</cp:lastModifiedBy>
  <cp:revision>2</cp:revision>
  <dcterms:created xsi:type="dcterms:W3CDTF">2021-07-28T18:48:00Z</dcterms:created>
  <dcterms:modified xsi:type="dcterms:W3CDTF">2021-07-28T18:48:00Z</dcterms:modified>
</cp:coreProperties>
</file>